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57" w:type="dxa"/>
          <w:right w:w="57" w:type="dxa"/>
        </w:tblCellMar>
        <w:tblLook w:val="00A0" w:firstRow="1" w:lastRow="0" w:firstColumn="1" w:lastColumn="0" w:noHBand="0" w:noVBand="0"/>
      </w:tblPr>
      <w:tblGrid>
        <w:gridCol w:w="2090"/>
        <w:gridCol w:w="565"/>
        <w:gridCol w:w="5726"/>
        <w:gridCol w:w="5669"/>
        <w:gridCol w:w="565"/>
      </w:tblGrid>
      <w:tr w:rsidR="007E46CE" w:rsidRPr="008E2758" w14:paraId="363BDFD8" w14:textId="77777777" w:rsidTr="00F11963">
        <w:tc>
          <w:tcPr>
            <w:tcW w:w="2090" w:type="dxa"/>
            <w:tcBorders>
              <w:bottom w:val="single" w:sz="4" w:space="0" w:color="auto"/>
            </w:tcBorders>
            <w:shd w:val="clear" w:color="auto" w:fill="8AC9AC"/>
            <w:tcMar>
              <w:top w:w="57" w:type="dxa"/>
              <w:bottom w:w="57" w:type="dxa"/>
            </w:tcMar>
            <w:vAlign w:val="center"/>
          </w:tcPr>
          <w:p w14:paraId="037D0A4F" w14:textId="77777777" w:rsidR="007E46CE" w:rsidRPr="00D600DD" w:rsidRDefault="007E46CE" w:rsidP="00655925">
            <w:pPr>
              <w:spacing w:line="240" w:lineRule="auto"/>
              <w:rPr>
                <w:b/>
                <w:caps/>
                <w:color w:val="0D5554"/>
                <w:sz w:val="16"/>
                <w:szCs w:val="16"/>
                <w:lang w:bidi="x-none"/>
              </w:rPr>
            </w:pPr>
            <w:r w:rsidRPr="00D600DD">
              <w:rPr>
                <w:b/>
                <w:caps/>
                <w:color w:val="0D5554"/>
                <w:sz w:val="16"/>
                <w:szCs w:val="16"/>
                <w:lang w:bidi="x-none"/>
              </w:rPr>
              <w:t>Kenmerk</w:t>
            </w:r>
          </w:p>
        </w:tc>
        <w:tc>
          <w:tcPr>
            <w:tcW w:w="565" w:type="dxa"/>
            <w:tcBorders>
              <w:bottom w:val="single" w:sz="4" w:space="0" w:color="auto"/>
            </w:tcBorders>
            <w:shd w:val="clear" w:color="auto" w:fill="8AC9AC"/>
            <w:tcMar>
              <w:top w:w="57" w:type="dxa"/>
              <w:bottom w:w="57" w:type="dxa"/>
            </w:tcMar>
            <w:vAlign w:val="center"/>
          </w:tcPr>
          <w:p w14:paraId="6F012428" w14:textId="77777777" w:rsidR="007E46CE" w:rsidRPr="00D600DD" w:rsidRDefault="007E46CE" w:rsidP="00655925">
            <w:pPr>
              <w:spacing w:line="240" w:lineRule="auto"/>
              <w:jc w:val="center"/>
              <w:rPr>
                <w:b/>
                <w:caps/>
                <w:color w:val="0D5554"/>
                <w:sz w:val="16"/>
                <w:szCs w:val="16"/>
                <w:lang w:bidi="x-none"/>
              </w:rPr>
            </w:pPr>
            <w:r w:rsidRPr="00D600DD">
              <w:rPr>
                <w:b/>
                <w:caps/>
                <w:color w:val="0D5554"/>
                <w:sz w:val="16"/>
                <w:szCs w:val="16"/>
                <w:lang w:bidi="x-none"/>
              </w:rPr>
              <w:t>-</w:t>
            </w:r>
          </w:p>
        </w:tc>
        <w:tc>
          <w:tcPr>
            <w:tcW w:w="5726" w:type="dxa"/>
            <w:tcBorders>
              <w:bottom w:val="single" w:sz="4" w:space="0" w:color="auto"/>
            </w:tcBorders>
            <w:shd w:val="clear" w:color="auto" w:fill="8AC9AC"/>
            <w:tcMar>
              <w:top w:w="57" w:type="dxa"/>
              <w:bottom w:w="57" w:type="dxa"/>
            </w:tcMar>
            <w:vAlign w:val="center"/>
          </w:tcPr>
          <w:p w14:paraId="19D4F9DC" w14:textId="77777777" w:rsidR="007E46CE" w:rsidRPr="00D600DD" w:rsidRDefault="007E46CE" w:rsidP="00655925">
            <w:pPr>
              <w:spacing w:line="240" w:lineRule="auto"/>
              <w:jc w:val="center"/>
              <w:rPr>
                <w:b/>
                <w:caps/>
                <w:color w:val="0D5554"/>
                <w:sz w:val="16"/>
                <w:szCs w:val="16"/>
                <w:lang w:bidi="x-none"/>
              </w:rPr>
            </w:pPr>
            <w:r>
              <w:rPr>
                <w:b/>
                <w:caps/>
                <w:color w:val="0D5554"/>
                <w:sz w:val="16"/>
                <w:szCs w:val="16"/>
                <w:lang w:bidi="x-none"/>
              </w:rPr>
              <w:t>monteur</w:t>
            </w:r>
            <w:r w:rsidRPr="00D600DD">
              <w:rPr>
                <w:b/>
                <w:caps/>
                <w:color w:val="0D5554"/>
                <w:sz w:val="16"/>
                <w:szCs w:val="16"/>
                <w:lang w:bidi="x-none"/>
              </w:rPr>
              <w:t xml:space="preserve"> I</w:t>
            </w:r>
          </w:p>
        </w:tc>
        <w:tc>
          <w:tcPr>
            <w:tcW w:w="5669" w:type="dxa"/>
            <w:tcBorders>
              <w:bottom w:val="single" w:sz="4" w:space="0" w:color="auto"/>
            </w:tcBorders>
            <w:shd w:val="clear" w:color="auto" w:fill="8AC9AC"/>
            <w:tcMar>
              <w:top w:w="57" w:type="dxa"/>
              <w:bottom w:w="57" w:type="dxa"/>
            </w:tcMar>
            <w:vAlign w:val="center"/>
          </w:tcPr>
          <w:p w14:paraId="1A8232FC" w14:textId="77777777" w:rsidR="007E46CE" w:rsidRPr="00D600DD" w:rsidRDefault="007E46CE" w:rsidP="00655925">
            <w:pPr>
              <w:spacing w:line="240" w:lineRule="auto"/>
              <w:ind w:right="-6"/>
              <w:jc w:val="center"/>
              <w:rPr>
                <w:b/>
                <w:caps/>
                <w:color w:val="FFFFFF"/>
                <w:sz w:val="16"/>
                <w:szCs w:val="16"/>
                <w:lang w:bidi="x-none"/>
              </w:rPr>
            </w:pPr>
            <w:r>
              <w:rPr>
                <w:b/>
                <w:caps/>
                <w:color w:val="0D5554"/>
                <w:sz w:val="16"/>
                <w:szCs w:val="16"/>
                <w:lang w:bidi="x-none"/>
              </w:rPr>
              <w:t>monteur</w:t>
            </w:r>
            <w:r w:rsidRPr="00D600DD">
              <w:rPr>
                <w:b/>
                <w:caps/>
                <w:color w:val="0D5554"/>
                <w:sz w:val="16"/>
                <w:szCs w:val="16"/>
                <w:lang w:bidi="x-none"/>
              </w:rPr>
              <w:t xml:space="preserve"> II</w:t>
            </w:r>
          </w:p>
        </w:tc>
        <w:tc>
          <w:tcPr>
            <w:tcW w:w="565" w:type="dxa"/>
            <w:tcBorders>
              <w:bottom w:val="single" w:sz="4" w:space="0" w:color="auto"/>
            </w:tcBorders>
            <w:shd w:val="clear" w:color="auto" w:fill="8AC9AC"/>
            <w:tcMar>
              <w:top w:w="57" w:type="dxa"/>
              <w:bottom w:w="57" w:type="dxa"/>
            </w:tcMar>
            <w:vAlign w:val="center"/>
          </w:tcPr>
          <w:p w14:paraId="0FEA9AA8" w14:textId="77777777" w:rsidR="007E46CE" w:rsidRPr="00D600DD" w:rsidRDefault="007E46CE" w:rsidP="00655925">
            <w:pPr>
              <w:spacing w:line="240" w:lineRule="auto"/>
              <w:jc w:val="center"/>
              <w:rPr>
                <w:b/>
                <w:caps/>
                <w:color w:val="FFFFFF"/>
                <w:sz w:val="16"/>
                <w:szCs w:val="16"/>
                <w:lang w:bidi="x-none"/>
              </w:rPr>
            </w:pPr>
            <w:r w:rsidRPr="00D600DD">
              <w:rPr>
                <w:b/>
                <w:caps/>
                <w:color w:val="0D5554"/>
                <w:sz w:val="16"/>
                <w:szCs w:val="16"/>
                <w:lang w:bidi="x-none"/>
              </w:rPr>
              <w:t>+</w:t>
            </w:r>
          </w:p>
        </w:tc>
      </w:tr>
      <w:tr w:rsidR="007E46CE" w:rsidRPr="008E2758" w14:paraId="06B4CC76" w14:textId="77777777" w:rsidTr="00F11963">
        <w:tc>
          <w:tcPr>
            <w:tcW w:w="2090" w:type="dxa"/>
            <w:tcBorders>
              <w:bottom w:val="single" w:sz="4" w:space="0" w:color="auto"/>
            </w:tcBorders>
            <w:shd w:val="clear" w:color="auto" w:fill="auto"/>
            <w:tcMar>
              <w:top w:w="57" w:type="dxa"/>
              <w:bottom w:w="57" w:type="dxa"/>
            </w:tcMar>
          </w:tcPr>
          <w:p w14:paraId="32073FE1" w14:textId="77777777" w:rsidR="007E46CE" w:rsidRPr="00EC1F6A" w:rsidRDefault="007E46CE" w:rsidP="00655925">
            <w:pPr>
              <w:spacing w:line="240" w:lineRule="auto"/>
              <w:rPr>
                <w:b/>
                <w:sz w:val="16"/>
                <w:szCs w:val="16"/>
                <w:lang w:bidi="x-none"/>
              </w:rPr>
            </w:pPr>
            <w:r w:rsidRPr="00EC1F6A">
              <w:rPr>
                <w:b/>
                <w:sz w:val="16"/>
                <w:szCs w:val="16"/>
                <w:lang w:bidi="x-none"/>
              </w:rPr>
              <w:t>Typering werkzaamheden</w:t>
            </w:r>
          </w:p>
        </w:tc>
        <w:tc>
          <w:tcPr>
            <w:tcW w:w="565" w:type="dxa"/>
            <w:vMerge w:val="restart"/>
            <w:tcMar>
              <w:top w:w="57" w:type="dxa"/>
              <w:bottom w:w="57" w:type="dxa"/>
            </w:tcMar>
            <w:textDirection w:val="tbRl"/>
            <w:vAlign w:val="center"/>
          </w:tcPr>
          <w:p w14:paraId="5B2A6F7B" w14:textId="77777777" w:rsidR="007E46CE" w:rsidRPr="00D600DD" w:rsidRDefault="007E46CE" w:rsidP="00655925">
            <w:pPr>
              <w:spacing w:line="240" w:lineRule="auto"/>
              <w:jc w:val="center"/>
              <w:rPr>
                <w:sz w:val="16"/>
                <w:szCs w:val="16"/>
                <w:lang w:bidi="x-none"/>
              </w:rPr>
            </w:pPr>
            <w:r w:rsidRPr="00D600DD">
              <w:rPr>
                <w:sz w:val="16"/>
                <w:szCs w:val="16"/>
                <w:lang w:bidi="x-none"/>
              </w:rPr>
              <w:t>Geen referentiefunctie beschikbaar</w:t>
            </w:r>
          </w:p>
        </w:tc>
        <w:tc>
          <w:tcPr>
            <w:tcW w:w="5726" w:type="dxa"/>
            <w:tcBorders>
              <w:bottom w:val="single" w:sz="4" w:space="0" w:color="auto"/>
            </w:tcBorders>
            <w:shd w:val="clear" w:color="auto" w:fill="auto"/>
            <w:tcMar>
              <w:top w:w="57" w:type="dxa"/>
              <w:bottom w:w="57" w:type="dxa"/>
            </w:tcMar>
          </w:tcPr>
          <w:p w14:paraId="0603AC3C" w14:textId="77777777" w:rsidR="007E46CE" w:rsidRPr="00D600DD" w:rsidRDefault="007E46CE" w:rsidP="00655925">
            <w:pPr>
              <w:spacing w:line="240" w:lineRule="auto"/>
              <w:ind w:left="284" w:hanging="284"/>
              <w:rPr>
                <w:sz w:val="16"/>
                <w:szCs w:val="16"/>
                <w:lang w:bidi="x-none"/>
              </w:rPr>
            </w:pPr>
            <w:r w:rsidRPr="00D600DD">
              <w:rPr>
                <w:sz w:val="16"/>
                <w:szCs w:val="16"/>
              </w:rPr>
              <w:t>-</w:t>
            </w:r>
            <w:r w:rsidRPr="00D600DD">
              <w:rPr>
                <w:sz w:val="16"/>
                <w:szCs w:val="16"/>
              </w:rPr>
              <w:tab/>
            </w:r>
            <w:r>
              <w:rPr>
                <w:sz w:val="16"/>
                <w:szCs w:val="16"/>
              </w:rPr>
              <w:t>f</w:t>
            </w:r>
            <w:r w:rsidRPr="00D600DD">
              <w:rPr>
                <w:sz w:val="16"/>
                <w:szCs w:val="16"/>
              </w:rPr>
              <w:t>ocus van de functie ligt op</w:t>
            </w:r>
            <w:r>
              <w:rPr>
                <w:sz w:val="16"/>
                <w:szCs w:val="16"/>
              </w:rPr>
              <w:t xml:space="preserve"> het uitvoeren van eenvoudig, routinematig preventief en curatief onderhoud en VCA-inspecties aan werktuigen/machines, hulpmiddelen en werkplaatsapparatuur.</w:t>
            </w:r>
          </w:p>
        </w:tc>
        <w:tc>
          <w:tcPr>
            <w:tcW w:w="5669" w:type="dxa"/>
            <w:tcBorders>
              <w:bottom w:val="single" w:sz="4" w:space="0" w:color="auto"/>
            </w:tcBorders>
            <w:shd w:val="clear" w:color="auto" w:fill="auto"/>
            <w:tcMar>
              <w:top w:w="57" w:type="dxa"/>
              <w:bottom w:w="57" w:type="dxa"/>
            </w:tcMar>
          </w:tcPr>
          <w:p w14:paraId="55F33883" w14:textId="77777777" w:rsidR="007E46CE" w:rsidRDefault="007E46CE" w:rsidP="00655925">
            <w:pPr>
              <w:spacing w:line="240" w:lineRule="auto"/>
              <w:ind w:left="284" w:hanging="284"/>
              <w:rPr>
                <w:sz w:val="16"/>
                <w:szCs w:val="16"/>
              </w:rPr>
            </w:pPr>
            <w:r w:rsidRPr="00D600DD">
              <w:rPr>
                <w:sz w:val="16"/>
                <w:szCs w:val="16"/>
              </w:rPr>
              <w:t>-</w:t>
            </w:r>
            <w:r w:rsidRPr="00D600DD">
              <w:rPr>
                <w:sz w:val="16"/>
                <w:szCs w:val="16"/>
              </w:rPr>
              <w:tab/>
            </w:r>
            <w:r>
              <w:rPr>
                <w:sz w:val="16"/>
                <w:szCs w:val="16"/>
              </w:rPr>
              <w:t>f</w:t>
            </w:r>
            <w:r w:rsidRPr="00D600DD">
              <w:rPr>
                <w:sz w:val="16"/>
                <w:szCs w:val="16"/>
              </w:rPr>
              <w:t>ocus van de functie ligt op</w:t>
            </w:r>
            <w:r>
              <w:rPr>
                <w:sz w:val="16"/>
                <w:szCs w:val="16"/>
              </w:rPr>
              <w:t xml:space="preserve"> het uitvoeren van preventief en curatief onderhoud en VCA-inspecties aan werktuigen/machines, hulpmiddelen en werkplaatsapparatuur;</w:t>
            </w:r>
          </w:p>
          <w:p w14:paraId="6ECBD4B3" w14:textId="77777777" w:rsidR="007E46CE" w:rsidRPr="00D600DD" w:rsidRDefault="007E46CE" w:rsidP="00655925">
            <w:pPr>
              <w:spacing w:line="240" w:lineRule="auto"/>
              <w:ind w:left="284" w:hanging="284"/>
              <w:rPr>
                <w:sz w:val="16"/>
                <w:szCs w:val="16"/>
              </w:rPr>
            </w:pPr>
            <w:r>
              <w:rPr>
                <w:sz w:val="16"/>
                <w:szCs w:val="16"/>
              </w:rPr>
              <w:t>-</w:t>
            </w:r>
            <w:r>
              <w:rPr>
                <w:sz w:val="16"/>
                <w:szCs w:val="16"/>
              </w:rPr>
              <w:tab/>
              <w:t>begeleiden van externen tijdens de uitvoering van onderhoudswerkzaamheden.</w:t>
            </w:r>
          </w:p>
        </w:tc>
        <w:tc>
          <w:tcPr>
            <w:tcW w:w="565" w:type="dxa"/>
            <w:vMerge w:val="restart"/>
            <w:tcMar>
              <w:top w:w="57" w:type="dxa"/>
              <w:bottom w:w="57" w:type="dxa"/>
            </w:tcMar>
            <w:textDirection w:val="tbRl"/>
            <w:vAlign w:val="center"/>
          </w:tcPr>
          <w:p w14:paraId="1CABD270" w14:textId="77777777" w:rsidR="007E46CE" w:rsidRPr="00D600DD" w:rsidRDefault="007E46CE" w:rsidP="00655925">
            <w:pPr>
              <w:spacing w:line="240" w:lineRule="auto"/>
              <w:jc w:val="center"/>
              <w:rPr>
                <w:sz w:val="16"/>
                <w:szCs w:val="16"/>
                <w:lang w:bidi="x-none"/>
              </w:rPr>
            </w:pPr>
            <w:r>
              <w:rPr>
                <w:sz w:val="16"/>
                <w:szCs w:val="16"/>
                <w:lang w:bidi="x-none"/>
              </w:rPr>
              <w:t>Zie</w:t>
            </w:r>
            <w:r w:rsidRPr="00B64198">
              <w:rPr>
                <w:sz w:val="16"/>
                <w:szCs w:val="16"/>
                <w:lang w:bidi="x-none"/>
              </w:rPr>
              <w:t xml:space="preserve"> referentiefunctie </w:t>
            </w:r>
            <w:r>
              <w:rPr>
                <w:sz w:val="16"/>
                <w:szCs w:val="16"/>
                <w:lang w:bidi="x-none"/>
              </w:rPr>
              <w:t>Hoofd technische dienst</w:t>
            </w:r>
          </w:p>
        </w:tc>
      </w:tr>
      <w:tr w:rsidR="007E46CE" w:rsidRPr="008E2758" w14:paraId="031D8F53" w14:textId="77777777" w:rsidTr="00F11963">
        <w:tc>
          <w:tcPr>
            <w:tcW w:w="2090" w:type="dxa"/>
            <w:tcBorders>
              <w:bottom w:val="single" w:sz="4" w:space="0" w:color="auto"/>
            </w:tcBorders>
            <w:shd w:val="clear" w:color="auto" w:fill="auto"/>
            <w:tcMar>
              <w:top w:w="57" w:type="dxa"/>
              <w:bottom w:w="57" w:type="dxa"/>
            </w:tcMar>
          </w:tcPr>
          <w:p w14:paraId="61148011" w14:textId="77777777" w:rsidR="007E46CE" w:rsidRPr="00EC1F6A" w:rsidRDefault="007E46CE" w:rsidP="00655925">
            <w:pPr>
              <w:spacing w:line="240" w:lineRule="auto"/>
              <w:rPr>
                <w:b/>
                <w:sz w:val="16"/>
                <w:szCs w:val="16"/>
                <w:lang w:bidi="x-none"/>
              </w:rPr>
            </w:pPr>
            <w:r w:rsidRPr="00EC1F6A">
              <w:rPr>
                <w:b/>
                <w:sz w:val="16"/>
                <w:szCs w:val="16"/>
                <w:lang w:bidi="x-none"/>
              </w:rPr>
              <w:t>Curatief onderhoud</w:t>
            </w:r>
          </w:p>
        </w:tc>
        <w:tc>
          <w:tcPr>
            <w:tcW w:w="565" w:type="dxa"/>
            <w:vMerge/>
            <w:tcMar>
              <w:top w:w="57" w:type="dxa"/>
              <w:bottom w:w="57" w:type="dxa"/>
            </w:tcMar>
            <w:textDirection w:val="tbRl"/>
          </w:tcPr>
          <w:p w14:paraId="6A81E4AA" w14:textId="77777777" w:rsidR="007E46CE" w:rsidRPr="00030423" w:rsidRDefault="007E46CE" w:rsidP="00655925">
            <w:pPr>
              <w:spacing w:line="240" w:lineRule="auto"/>
              <w:ind w:left="284" w:right="113" w:hanging="284"/>
              <w:jc w:val="center"/>
              <w:rPr>
                <w:sz w:val="18"/>
                <w:szCs w:val="18"/>
                <w:lang w:bidi="x-none"/>
              </w:rPr>
            </w:pPr>
          </w:p>
        </w:tc>
        <w:tc>
          <w:tcPr>
            <w:tcW w:w="5726" w:type="dxa"/>
            <w:tcBorders>
              <w:bottom w:val="single" w:sz="4" w:space="0" w:color="auto"/>
            </w:tcBorders>
            <w:shd w:val="clear" w:color="auto" w:fill="auto"/>
            <w:tcMar>
              <w:top w:w="57" w:type="dxa"/>
              <w:bottom w:w="57" w:type="dxa"/>
            </w:tcMar>
          </w:tcPr>
          <w:p w14:paraId="142E3B75" w14:textId="77777777" w:rsidR="007E46CE" w:rsidRPr="00D600DD" w:rsidRDefault="007E46CE" w:rsidP="00655925">
            <w:pPr>
              <w:spacing w:line="240" w:lineRule="auto"/>
              <w:ind w:left="284" w:hanging="284"/>
              <w:rPr>
                <w:sz w:val="16"/>
                <w:szCs w:val="16"/>
              </w:rPr>
            </w:pPr>
            <w:r w:rsidRPr="00D600DD">
              <w:rPr>
                <w:sz w:val="16"/>
                <w:szCs w:val="16"/>
              </w:rPr>
              <w:t>-</w:t>
            </w:r>
            <w:r w:rsidRPr="00D600DD">
              <w:rPr>
                <w:sz w:val="16"/>
                <w:szCs w:val="16"/>
              </w:rPr>
              <w:tab/>
            </w:r>
            <w:r>
              <w:rPr>
                <w:sz w:val="16"/>
                <w:szCs w:val="16"/>
              </w:rPr>
              <w:t>oplossen van eenvoudige, veelvoorkomende storingen door het onderzoeken van de oorzaak en het aansluitend hierop toepassen van bekende oplossingen, eventueel op locatie.</w:t>
            </w:r>
          </w:p>
        </w:tc>
        <w:tc>
          <w:tcPr>
            <w:tcW w:w="5669" w:type="dxa"/>
            <w:tcBorders>
              <w:bottom w:val="single" w:sz="4" w:space="0" w:color="auto"/>
            </w:tcBorders>
            <w:shd w:val="clear" w:color="auto" w:fill="auto"/>
            <w:tcMar>
              <w:top w:w="57" w:type="dxa"/>
              <w:bottom w:w="57" w:type="dxa"/>
            </w:tcMar>
          </w:tcPr>
          <w:p w14:paraId="4CABA7FB" w14:textId="77777777" w:rsidR="007E46CE" w:rsidRPr="00D600DD" w:rsidRDefault="007E46CE" w:rsidP="00655925">
            <w:pPr>
              <w:spacing w:line="240" w:lineRule="auto"/>
              <w:ind w:left="284" w:hanging="284"/>
              <w:rPr>
                <w:sz w:val="16"/>
                <w:szCs w:val="16"/>
              </w:rPr>
            </w:pPr>
            <w:r w:rsidRPr="00D600DD">
              <w:rPr>
                <w:sz w:val="16"/>
                <w:szCs w:val="16"/>
              </w:rPr>
              <w:t>-</w:t>
            </w:r>
            <w:r w:rsidRPr="00D600DD">
              <w:rPr>
                <w:sz w:val="16"/>
                <w:szCs w:val="16"/>
              </w:rPr>
              <w:tab/>
            </w:r>
            <w:r>
              <w:rPr>
                <w:sz w:val="16"/>
                <w:szCs w:val="16"/>
              </w:rPr>
              <w:t>oplossen van storingen door het onderzoeken van de oorzaak, het benoemen van oplossingsmogelijkheden inclusief impact (urgentie, benodigde tijd, duurzaamheid, etc.) en het aansluitend hierop toepassen van de best passende oplossing, eventueel op locatie.</w:t>
            </w:r>
          </w:p>
        </w:tc>
        <w:tc>
          <w:tcPr>
            <w:tcW w:w="565" w:type="dxa"/>
            <w:vMerge/>
            <w:tcMar>
              <w:top w:w="57" w:type="dxa"/>
              <w:bottom w:w="57" w:type="dxa"/>
            </w:tcMar>
            <w:textDirection w:val="tbRl"/>
          </w:tcPr>
          <w:p w14:paraId="70583607" w14:textId="77777777" w:rsidR="007E46CE" w:rsidRPr="008E2758" w:rsidRDefault="007E46CE" w:rsidP="00655925">
            <w:pPr>
              <w:spacing w:line="240" w:lineRule="auto"/>
              <w:ind w:left="397" w:right="113" w:hanging="284"/>
              <w:jc w:val="center"/>
              <w:rPr>
                <w:sz w:val="18"/>
                <w:szCs w:val="18"/>
                <w:lang w:bidi="x-none"/>
              </w:rPr>
            </w:pPr>
          </w:p>
        </w:tc>
      </w:tr>
      <w:tr w:rsidR="007E46CE" w:rsidRPr="008E2758" w14:paraId="3558FDF2" w14:textId="77777777" w:rsidTr="00F11963">
        <w:tc>
          <w:tcPr>
            <w:tcW w:w="2090" w:type="dxa"/>
            <w:tcBorders>
              <w:bottom w:val="single" w:sz="4" w:space="0" w:color="auto"/>
            </w:tcBorders>
            <w:shd w:val="clear" w:color="auto" w:fill="auto"/>
            <w:tcMar>
              <w:top w:w="57" w:type="dxa"/>
              <w:bottom w:w="57" w:type="dxa"/>
            </w:tcMar>
          </w:tcPr>
          <w:p w14:paraId="20102278" w14:textId="77777777" w:rsidR="007E46CE" w:rsidRPr="00EC1F6A" w:rsidRDefault="007E46CE" w:rsidP="00655925">
            <w:pPr>
              <w:spacing w:line="240" w:lineRule="auto"/>
              <w:rPr>
                <w:b/>
                <w:sz w:val="16"/>
                <w:szCs w:val="16"/>
                <w:lang w:bidi="x-none"/>
              </w:rPr>
            </w:pPr>
            <w:r w:rsidRPr="00EC1F6A">
              <w:rPr>
                <w:b/>
                <w:sz w:val="16"/>
                <w:szCs w:val="16"/>
                <w:lang w:bidi="x-none"/>
              </w:rPr>
              <w:t>Modificatie- en constructie-werkzaamheden</w:t>
            </w:r>
          </w:p>
        </w:tc>
        <w:tc>
          <w:tcPr>
            <w:tcW w:w="565" w:type="dxa"/>
            <w:vMerge/>
            <w:tcMar>
              <w:top w:w="57" w:type="dxa"/>
              <w:bottom w:w="57" w:type="dxa"/>
            </w:tcMar>
            <w:textDirection w:val="tbRl"/>
          </w:tcPr>
          <w:p w14:paraId="26071BBB" w14:textId="77777777" w:rsidR="007E46CE" w:rsidRPr="00030423" w:rsidRDefault="007E46CE" w:rsidP="00655925">
            <w:pPr>
              <w:spacing w:line="240" w:lineRule="auto"/>
              <w:ind w:left="284" w:right="113" w:hanging="284"/>
              <w:jc w:val="center"/>
              <w:rPr>
                <w:sz w:val="18"/>
                <w:szCs w:val="18"/>
                <w:lang w:bidi="x-none"/>
              </w:rPr>
            </w:pPr>
          </w:p>
        </w:tc>
        <w:tc>
          <w:tcPr>
            <w:tcW w:w="5726" w:type="dxa"/>
            <w:tcBorders>
              <w:bottom w:val="single" w:sz="4" w:space="0" w:color="auto"/>
            </w:tcBorders>
            <w:shd w:val="clear" w:color="auto" w:fill="auto"/>
            <w:tcMar>
              <w:top w:w="57" w:type="dxa"/>
              <w:bottom w:w="57" w:type="dxa"/>
            </w:tcMar>
          </w:tcPr>
          <w:p w14:paraId="79BFA002" w14:textId="77777777" w:rsidR="007E46CE" w:rsidRPr="00D600DD" w:rsidRDefault="007E46CE" w:rsidP="00655925">
            <w:pPr>
              <w:spacing w:line="240" w:lineRule="auto"/>
              <w:ind w:left="284" w:hanging="284"/>
              <w:rPr>
                <w:sz w:val="16"/>
                <w:szCs w:val="16"/>
              </w:rPr>
            </w:pPr>
            <w:r w:rsidRPr="00D600DD">
              <w:rPr>
                <w:sz w:val="16"/>
                <w:szCs w:val="16"/>
              </w:rPr>
              <w:t>-</w:t>
            </w:r>
            <w:r w:rsidRPr="00D600DD">
              <w:rPr>
                <w:sz w:val="16"/>
                <w:szCs w:val="16"/>
              </w:rPr>
              <w:tab/>
            </w:r>
            <w:r>
              <w:rPr>
                <w:sz w:val="16"/>
                <w:szCs w:val="16"/>
              </w:rPr>
              <w:t>assisteren van collega’s en/of externen bij het uitvoeren van modificatie-/constructiewerkzaamheden.</w:t>
            </w:r>
          </w:p>
          <w:p w14:paraId="476A6D14" w14:textId="77777777" w:rsidR="007E46CE" w:rsidRPr="00D600DD" w:rsidRDefault="007E46CE" w:rsidP="00655925">
            <w:pPr>
              <w:spacing w:line="240" w:lineRule="auto"/>
              <w:ind w:left="284" w:hanging="284"/>
              <w:rPr>
                <w:sz w:val="16"/>
                <w:szCs w:val="16"/>
                <w:lang w:bidi="x-none"/>
              </w:rPr>
            </w:pPr>
          </w:p>
        </w:tc>
        <w:tc>
          <w:tcPr>
            <w:tcW w:w="5669" w:type="dxa"/>
            <w:tcBorders>
              <w:bottom w:val="single" w:sz="4" w:space="0" w:color="auto"/>
            </w:tcBorders>
            <w:shd w:val="clear" w:color="auto" w:fill="auto"/>
            <w:tcMar>
              <w:top w:w="57" w:type="dxa"/>
              <w:bottom w:w="57" w:type="dxa"/>
            </w:tcMar>
          </w:tcPr>
          <w:p w14:paraId="58E777F3" w14:textId="77777777" w:rsidR="007E46CE" w:rsidRPr="00D600DD" w:rsidRDefault="007E46CE" w:rsidP="00655925">
            <w:pPr>
              <w:spacing w:line="240" w:lineRule="auto"/>
              <w:ind w:left="284" w:hanging="284"/>
              <w:rPr>
                <w:sz w:val="16"/>
                <w:szCs w:val="16"/>
              </w:rPr>
            </w:pPr>
            <w:r w:rsidRPr="00B64198">
              <w:rPr>
                <w:sz w:val="16"/>
                <w:szCs w:val="16"/>
              </w:rPr>
              <w:t>-</w:t>
            </w:r>
            <w:r w:rsidRPr="00B64198">
              <w:rPr>
                <w:sz w:val="16"/>
                <w:szCs w:val="16"/>
              </w:rPr>
              <w:tab/>
            </w:r>
            <w:r>
              <w:rPr>
                <w:sz w:val="16"/>
                <w:szCs w:val="16"/>
              </w:rPr>
              <w:t>aan de hand van duidelijke opdrachten, aanwijzingen en instructies uitvoeren van modificatie-/constructiewerkzaamheden.</w:t>
            </w:r>
          </w:p>
          <w:p w14:paraId="42F17D65" w14:textId="77777777" w:rsidR="007E46CE" w:rsidRPr="0065225B" w:rsidRDefault="007E46CE" w:rsidP="00655925">
            <w:pPr>
              <w:spacing w:line="240" w:lineRule="auto"/>
              <w:ind w:left="284" w:hanging="284"/>
              <w:rPr>
                <w:sz w:val="16"/>
                <w:szCs w:val="16"/>
              </w:rPr>
            </w:pPr>
          </w:p>
        </w:tc>
        <w:tc>
          <w:tcPr>
            <w:tcW w:w="565" w:type="dxa"/>
            <w:vMerge/>
            <w:tcMar>
              <w:top w:w="57" w:type="dxa"/>
              <w:bottom w:w="57" w:type="dxa"/>
            </w:tcMar>
            <w:textDirection w:val="tbRl"/>
          </w:tcPr>
          <w:p w14:paraId="4564568B" w14:textId="77777777" w:rsidR="007E46CE" w:rsidRPr="008E2758" w:rsidRDefault="007E46CE" w:rsidP="00655925">
            <w:pPr>
              <w:spacing w:line="240" w:lineRule="auto"/>
              <w:ind w:left="397" w:right="113" w:hanging="284"/>
              <w:jc w:val="center"/>
              <w:rPr>
                <w:sz w:val="18"/>
                <w:szCs w:val="18"/>
                <w:lang w:bidi="x-none"/>
              </w:rPr>
            </w:pPr>
          </w:p>
        </w:tc>
      </w:tr>
      <w:tr w:rsidR="007E46CE" w:rsidRPr="008E2758" w14:paraId="5DEAFA98" w14:textId="77777777" w:rsidTr="00F11963">
        <w:tc>
          <w:tcPr>
            <w:tcW w:w="2090" w:type="dxa"/>
            <w:tcBorders>
              <w:bottom w:val="single" w:sz="4" w:space="0" w:color="auto"/>
            </w:tcBorders>
            <w:shd w:val="clear" w:color="auto" w:fill="auto"/>
            <w:tcMar>
              <w:top w:w="57" w:type="dxa"/>
              <w:bottom w:w="57" w:type="dxa"/>
            </w:tcMar>
          </w:tcPr>
          <w:p w14:paraId="3212F286" w14:textId="77777777" w:rsidR="007E46CE" w:rsidRPr="00EC1F6A" w:rsidRDefault="007E46CE" w:rsidP="00655925">
            <w:pPr>
              <w:spacing w:line="240" w:lineRule="auto"/>
              <w:rPr>
                <w:b/>
                <w:sz w:val="16"/>
                <w:szCs w:val="16"/>
                <w:lang w:bidi="x-none"/>
              </w:rPr>
            </w:pPr>
            <w:r w:rsidRPr="00EC1F6A">
              <w:rPr>
                <w:b/>
                <w:sz w:val="16"/>
                <w:szCs w:val="16"/>
                <w:lang w:bidi="x-none"/>
              </w:rPr>
              <w:t>Kennis en ervaring</w:t>
            </w:r>
          </w:p>
        </w:tc>
        <w:tc>
          <w:tcPr>
            <w:tcW w:w="565" w:type="dxa"/>
            <w:vMerge/>
            <w:tcBorders>
              <w:bottom w:val="single" w:sz="4" w:space="0" w:color="auto"/>
            </w:tcBorders>
            <w:tcMar>
              <w:top w:w="57" w:type="dxa"/>
              <w:bottom w:w="57" w:type="dxa"/>
            </w:tcMar>
            <w:textDirection w:val="tbRl"/>
          </w:tcPr>
          <w:p w14:paraId="1BEECEB5" w14:textId="77777777" w:rsidR="007E46CE" w:rsidRPr="00030423" w:rsidRDefault="007E46CE" w:rsidP="00655925">
            <w:pPr>
              <w:spacing w:line="240" w:lineRule="auto"/>
              <w:ind w:left="284" w:right="113" w:hanging="284"/>
              <w:jc w:val="center"/>
              <w:rPr>
                <w:sz w:val="18"/>
                <w:szCs w:val="18"/>
                <w:lang w:bidi="x-none"/>
              </w:rPr>
            </w:pPr>
          </w:p>
        </w:tc>
        <w:tc>
          <w:tcPr>
            <w:tcW w:w="5726" w:type="dxa"/>
            <w:tcBorders>
              <w:bottom w:val="single" w:sz="4" w:space="0" w:color="auto"/>
            </w:tcBorders>
            <w:shd w:val="clear" w:color="auto" w:fill="auto"/>
            <w:tcMar>
              <w:top w:w="57" w:type="dxa"/>
              <w:bottom w:w="57" w:type="dxa"/>
            </w:tcMar>
          </w:tcPr>
          <w:p w14:paraId="337CA8EE" w14:textId="77777777" w:rsidR="007E46CE" w:rsidRDefault="007E46CE" w:rsidP="00655925">
            <w:pPr>
              <w:spacing w:line="240" w:lineRule="auto"/>
              <w:ind w:left="284" w:hanging="284"/>
              <w:rPr>
                <w:sz w:val="16"/>
                <w:szCs w:val="16"/>
              </w:rPr>
            </w:pPr>
            <w:r w:rsidRPr="00D600DD">
              <w:rPr>
                <w:sz w:val="16"/>
                <w:szCs w:val="16"/>
              </w:rPr>
              <w:t>-</w:t>
            </w:r>
            <w:r w:rsidRPr="00D600DD">
              <w:rPr>
                <w:sz w:val="16"/>
                <w:szCs w:val="16"/>
              </w:rPr>
              <w:tab/>
            </w:r>
            <w:r>
              <w:rPr>
                <w:sz w:val="16"/>
                <w:szCs w:val="16"/>
              </w:rPr>
              <w:t>MBO werk- en denkniveau (richting techniek);</w:t>
            </w:r>
          </w:p>
          <w:p w14:paraId="50698E9F" w14:textId="77777777" w:rsidR="007E46CE" w:rsidRDefault="007E46CE" w:rsidP="00655925">
            <w:pPr>
              <w:spacing w:line="240" w:lineRule="auto"/>
              <w:ind w:left="284" w:hanging="284"/>
              <w:rPr>
                <w:sz w:val="16"/>
                <w:szCs w:val="16"/>
              </w:rPr>
            </w:pPr>
            <w:r>
              <w:rPr>
                <w:sz w:val="16"/>
                <w:szCs w:val="16"/>
              </w:rPr>
              <w:t>-</w:t>
            </w:r>
            <w:r>
              <w:rPr>
                <w:sz w:val="16"/>
                <w:szCs w:val="16"/>
              </w:rPr>
              <w:tab/>
              <w:t>basiskennis van onderhoud aan werktuigen/machines en hulpmiddelen;</w:t>
            </w:r>
          </w:p>
          <w:p w14:paraId="7C9153A2" w14:textId="77777777" w:rsidR="007E46CE" w:rsidRPr="00D600DD" w:rsidRDefault="007E46CE" w:rsidP="00655925">
            <w:pPr>
              <w:spacing w:line="240" w:lineRule="auto"/>
              <w:ind w:left="284" w:hanging="284"/>
              <w:rPr>
                <w:sz w:val="16"/>
                <w:szCs w:val="16"/>
                <w:lang w:bidi="x-none"/>
              </w:rPr>
            </w:pPr>
            <w:r>
              <w:rPr>
                <w:sz w:val="16"/>
                <w:szCs w:val="16"/>
              </w:rPr>
              <w:t>-</w:t>
            </w:r>
            <w:r>
              <w:rPr>
                <w:sz w:val="16"/>
                <w:szCs w:val="16"/>
              </w:rPr>
              <w:tab/>
              <w:t>kennis van interne procedures en van belang zijnde wet- en regelgeving (materieel, kwaliteit en veiligheid).</w:t>
            </w:r>
          </w:p>
        </w:tc>
        <w:tc>
          <w:tcPr>
            <w:tcW w:w="5669" w:type="dxa"/>
            <w:tcBorders>
              <w:bottom w:val="single" w:sz="4" w:space="0" w:color="auto"/>
            </w:tcBorders>
            <w:shd w:val="clear" w:color="auto" w:fill="auto"/>
            <w:tcMar>
              <w:top w:w="57" w:type="dxa"/>
              <w:bottom w:w="57" w:type="dxa"/>
            </w:tcMar>
          </w:tcPr>
          <w:p w14:paraId="6E4260F0" w14:textId="77777777" w:rsidR="007E46CE" w:rsidRDefault="00655925" w:rsidP="00655925">
            <w:pPr>
              <w:spacing w:line="240" w:lineRule="auto"/>
              <w:ind w:left="284" w:hanging="284"/>
              <w:rPr>
                <w:sz w:val="16"/>
                <w:szCs w:val="16"/>
              </w:rPr>
            </w:pPr>
            <w:r>
              <w:rPr>
                <w:sz w:val="16"/>
                <w:szCs w:val="16"/>
              </w:rPr>
              <w:t>Gelijk aan I, en</w:t>
            </w:r>
            <w:r w:rsidR="007E46CE">
              <w:rPr>
                <w:sz w:val="16"/>
                <w:szCs w:val="16"/>
              </w:rPr>
              <w:t>:</w:t>
            </w:r>
          </w:p>
          <w:p w14:paraId="038DD765" w14:textId="77777777" w:rsidR="007E46CE" w:rsidRPr="00D600DD" w:rsidRDefault="007E46CE" w:rsidP="00655925">
            <w:pPr>
              <w:spacing w:line="240" w:lineRule="auto"/>
              <w:ind w:left="284" w:hanging="284"/>
              <w:rPr>
                <w:sz w:val="16"/>
                <w:szCs w:val="16"/>
              </w:rPr>
            </w:pPr>
            <w:r w:rsidRPr="00D600DD">
              <w:rPr>
                <w:sz w:val="16"/>
                <w:szCs w:val="16"/>
              </w:rPr>
              <w:t>-</w:t>
            </w:r>
            <w:r w:rsidRPr="00D600DD">
              <w:rPr>
                <w:sz w:val="16"/>
                <w:szCs w:val="16"/>
              </w:rPr>
              <w:tab/>
            </w:r>
            <w:r>
              <w:rPr>
                <w:sz w:val="16"/>
                <w:szCs w:val="16"/>
              </w:rPr>
              <w:t>kennis van en ervaring met onderhoud aan werktuigen/machines, hulpmiddelen en werkplaatsapparatuur.</w:t>
            </w:r>
          </w:p>
          <w:p w14:paraId="738CE912" w14:textId="77777777" w:rsidR="007E46CE" w:rsidRPr="00D600DD" w:rsidRDefault="007E46CE" w:rsidP="00655925">
            <w:pPr>
              <w:spacing w:line="240" w:lineRule="auto"/>
              <w:ind w:left="284" w:hanging="284"/>
              <w:rPr>
                <w:sz w:val="16"/>
                <w:szCs w:val="16"/>
              </w:rPr>
            </w:pPr>
          </w:p>
        </w:tc>
        <w:tc>
          <w:tcPr>
            <w:tcW w:w="565" w:type="dxa"/>
            <w:vMerge/>
            <w:tcBorders>
              <w:bottom w:val="single" w:sz="4" w:space="0" w:color="auto"/>
            </w:tcBorders>
            <w:tcMar>
              <w:top w:w="57" w:type="dxa"/>
              <w:bottom w:w="57" w:type="dxa"/>
            </w:tcMar>
            <w:textDirection w:val="tbRl"/>
          </w:tcPr>
          <w:p w14:paraId="7FD65E42" w14:textId="77777777" w:rsidR="007E46CE" w:rsidRPr="008E2758" w:rsidRDefault="007E46CE" w:rsidP="00655925">
            <w:pPr>
              <w:spacing w:line="240" w:lineRule="auto"/>
              <w:ind w:left="397" w:right="113" w:hanging="284"/>
              <w:jc w:val="center"/>
              <w:rPr>
                <w:sz w:val="18"/>
                <w:szCs w:val="18"/>
                <w:lang w:bidi="x-none"/>
              </w:rPr>
            </w:pPr>
          </w:p>
        </w:tc>
      </w:tr>
      <w:tr w:rsidR="007E46CE" w:rsidRPr="008E2758" w14:paraId="77C2F368" w14:textId="77777777" w:rsidTr="00F11963">
        <w:trPr>
          <w:trHeight w:val="245"/>
        </w:trPr>
        <w:tc>
          <w:tcPr>
            <w:tcW w:w="2090" w:type="dxa"/>
            <w:shd w:val="clear" w:color="auto" w:fill="8AC9AC"/>
            <w:tcMar>
              <w:top w:w="57" w:type="dxa"/>
              <w:bottom w:w="57" w:type="dxa"/>
            </w:tcMar>
            <w:vAlign w:val="center"/>
          </w:tcPr>
          <w:p w14:paraId="1A9C735C" w14:textId="689D5D76" w:rsidR="007E46CE" w:rsidRPr="00D600DD" w:rsidRDefault="007E46CE" w:rsidP="00655925">
            <w:pPr>
              <w:spacing w:line="240" w:lineRule="auto"/>
              <w:rPr>
                <w:b/>
                <w:color w:val="0D5554"/>
                <w:sz w:val="16"/>
                <w:szCs w:val="16"/>
                <w:lang w:bidi="x-none"/>
              </w:rPr>
            </w:pPr>
          </w:p>
        </w:tc>
        <w:tc>
          <w:tcPr>
            <w:tcW w:w="565" w:type="dxa"/>
            <w:shd w:val="clear" w:color="auto" w:fill="8AC9AC"/>
            <w:tcMar>
              <w:top w:w="57" w:type="dxa"/>
              <w:bottom w:w="57" w:type="dxa"/>
            </w:tcMar>
            <w:vAlign w:val="center"/>
          </w:tcPr>
          <w:p w14:paraId="7F02579A" w14:textId="77777777" w:rsidR="007E46CE" w:rsidRPr="00D600DD" w:rsidRDefault="007E46CE" w:rsidP="00655925">
            <w:pPr>
              <w:spacing w:line="240" w:lineRule="auto"/>
              <w:jc w:val="center"/>
              <w:rPr>
                <w:b/>
                <w:color w:val="0D5554"/>
                <w:sz w:val="16"/>
                <w:szCs w:val="16"/>
                <w:lang w:bidi="x-none"/>
              </w:rPr>
            </w:pPr>
          </w:p>
        </w:tc>
        <w:tc>
          <w:tcPr>
            <w:tcW w:w="5726" w:type="dxa"/>
            <w:shd w:val="clear" w:color="auto" w:fill="8AC9AC"/>
            <w:tcMar>
              <w:top w:w="57" w:type="dxa"/>
              <w:bottom w:w="57" w:type="dxa"/>
            </w:tcMar>
            <w:vAlign w:val="center"/>
          </w:tcPr>
          <w:p w14:paraId="17E79E37" w14:textId="4652914F" w:rsidR="007E46CE" w:rsidRPr="00D600DD" w:rsidRDefault="007E46CE" w:rsidP="00655925">
            <w:pPr>
              <w:spacing w:line="240" w:lineRule="auto"/>
              <w:jc w:val="center"/>
              <w:rPr>
                <w:b/>
                <w:color w:val="0D5554"/>
                <w:sz w:val="16"/>
                <w:szCs w:val="16"/>
                <w:lang w:bidi="x-none"/>
              </w:rPr>
            </w:pPr>
          </w:p>
        </w:tc>
        <w:tc>
          <w:tcPr>
            <w:tcW w:w="5669" w:type="dxa"/>
            <w:shd w:val="clear" w:color="auto" w:fill="8AC9AC"/>
            <w:tcMar>
              <w:top w:w="57" w:type="dxa"/>
              <w:bottom w:w="57" w:type="dxa"/>
            </w:tcMar>
            <w:vAlign w:val="center"/>
          </w:tcPr>
          <w:p w14:paraId="2BAD73C8" w14:textId="1744D2AA" w:rsidR="007E46CE" w:rsidRPr="00D600DD" w:rsidRDefault="007E46CE" w:rsidP="00655925">
            <w:pPr>
              <w:spacing w:line="240" w:lineRule="auto"/>
              <w:jc w:val="center"/>
              <w:rPr>
                <w:b/>
                <w:color w:val="0D5554"/>
                <w:sz w:val="16"/>
                <w:szCs w:val="16"/>
                <w:lang w:bidi="x-none"/>
              </w:rPr>
            </w:pPr>
          </w:p>
        </w:tc>
        <w:tc>
          <w:tcPr>
            <w:tcW w:w="565" w:type="dxa"/>
            <w:shd w:val="clear" w:color="auto" w:fill="8AC9AC"/>
            <w:tcMar>
              <w:top w:w="57" w:type="dxa"/>
              <w:bottom w:w="57" w:type="dxa"/>
            </w:tcMar>
            <w:vAlign w:val="center"/>
          </w:tcPr>
          <w:p w14:paraId="383F844B" w14:textId="77777777" w:rsidR="007E46CE" w:rsidRPr="00D600DD" w:rsidRDefault="007E46CE" w:rsidP="00655925">
            <w:pPr>
              <w:spacing w:line="240" w:lineRule="auto"/>
              <w:jc w:val="center"/>
              <w:rPr>
                <w:b/>
                <w:color w:val="FFFFFF"/>
                <w:sz w:val="16"/>
                <w:szCs w:val="16"/>
                <w:lang w:bidi="x-none"/>
              </w:rPr>
            </w:pPr>
          </w:p>
        </w:tc>
      </w:tr>
    </w:tbl>
    <w:p w14:paraId="0D00C589" w14:textId="1385C6FE" w:rsidR="007E46CE" w:rsidRPr="00712607" w:rsidRDefault="007E46CE" w:rsidP="00655925">
      <w:pPr>
        <w:spacing w:line="240" w:lineRule="auto"/>
        <w:ind w:right="-6"/>
        <w:rPr>
          <w:sz w:val="14"/>
          <w:szCs w:val="14"/>
        </w:rPr>
      </w:pPr>
    </w:p>
    <w:p w14:paraId="71A6C9D8" w14:textId="77777777" w:rsidR="001E27BA" w:rsidRPr="007E46CE" w:rsidRDefault="001E27BA" w:rsidP="007E46CE">
      <w:pPr>
        <w:ind w:firstLine="567"/>
      </w:pPr>
    </w:p>
    <w:sectPr w:rsidR="001E27BA" w:rsidRPr="007E46CE" w:rsidSect="00655925">
      <w:headerReference w:type="default" r:id="rId7"/>
      <w:footerReference w:type="even" r:id="rId8"/>
      <w:footerReference w:type="default" r:id="rId9"/>
      <w:pgSz w:w="16840" w:h="11900" w:orient="landscape"/>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864FB" w14:textId="77777777" w:rsidR="002254CD" w:rsidRDefault="002254CD" w:rsidP="0099201E">
      <w:pPr>
        <w:spacing w:line="240" w:lineRule="auto"/>
      </w:pPr>
      <w:r>
        <w:separator/>
      </w:r>
    </w:p>
  </w:endnote>
  <w:endnote w:type="continuationSeparator" w:id="0">
    <w:p w14:paraId="4E453477" w14:textId="77777777" w:rsidR="002254CD" w:rsidRDefault="002254CD" w:rsidP="00992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675540711"/>
      <w:docPartObj>
        <w:docPartGallery w:val="Page Numbers (Bottom of Page)"/>
        <w:docPartUnique/>
      </w:docPartObj>
    </w:sdtPr>
    <w:sdtEndPr>
      <w:rPr>
        <w:rStyle w:val="Paginanummer"/>
      </w:rPr>
    </w:sdtEndPr>
    <w:sdtContent>
      <w:p w14:paraId="1EBE0171" w14:textId="77777777" w:rsidR="0099201E" w:rsidRDefault="0099201E" w:rsidP="00FB6E8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A49FD47" w14:textId="77777777" w:rsidR="0099201E" w:rsidRDefault="0099201E" w:rsidP="0099201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895225722"/>
      <w:docPartObj>
        <w:docPartGallery w:val="Page Numbers (Bottom of Page)"/>
        <w:docPartUnique/>
      </w:docPartObj>
    </w:sdtPr>
    <w:sdtEndPr>
      <w:rPr>
        <w:rStyle w:val="Paginanummer"/>
        <w:sz w:val="16"/>
        <w:szCs w:val="16"/>
      </w:rPr>
    </w:sdtEndPr>
    <w:sdtContent>
      <w:p w14:paraId="580D7026" w14:textId="77777777" w:rsidR="0099201E" w:rsidRPr="0099201E" w:rsidRDefault="0099201E" w:rsidP="00FB6E8C">
        <w:pPr>
          <w:pStyle w:val="Voettekst"/>
          <w:framePr w:wrap="none" w:vAnchor="text" w:hAnchor="margin" w:xAlign="right" w:y="1"/>
          <w:rPr>
            <w:rStyle w:val="Paginanummer"/>
            <w:sz w:val="16"/>
            <w:szCs w:val="16"/>
          </w:rPr>
        </w:pPr>
        <w:r w:rsidRPr="0099201E">
          <w:rPr>
            <w:rStyle w:val="Paginanummer"/>
            <w:sz w:val="16"/>
            <w:szCs w:val="16"/>
          </w:rPr>
          <w:fldChar w:fldCharType="begin"/>
        </w:r>
        <w:r w:rsidRPr="0099201E">
          <w:rPr>
            <w:rStyle w:val="Paginanummer"/>
            <w:sz w:val="16"/>
            <w:szCs w:val="16"/>
          </w:rPr>
          <w:instrText xml:space="preserve"> PAGE </w:instrText>
        </w:r>
        <w:r w:rsidRPr="0099201E">
          <w:rPr>
            <w:rStyle w:val="Paginanummer"/>
            <w:sz w:val="16"/>
            <w:szCs w:val="16"/>
          </w:rPr>
          <w:fldChar w:fldCharType="separate"/>
        </w:r>
        <w:r w:rsidRPr="0099201E">
          <w:rPr>
            <w:rStyle w:val="Paginanummer"/>
            <w:noProof/>
            <w:sz w:val="16"/>
            <w:szCs w:val="16"/>
          </w:rPr>
          <w:t>1</w:t>
        </w:r>
        <w:r w:rsidRPr="0099201E">
          <w:rPr>
            <w:rStyle w:val="Paginanummer"/>
            <w:sz w:val="16"/>
            <w:szCs w:val="16"/>
          </w:rPr>
          <w:fldChar w:fldCharType="end"/>
        </w:r>
      </w:p>
    </w:sdtContent>
  </w:sdt>
  <w:p w14:paraId="16944B28" w14:textId="613E51D7" w:rsidR="0099201E" w:rsidRPr="001A411F" w:rsidRDefault="007318D4" w:rsidP="001A411F">
    <w:pPr>
      <w:pStyle w:val="Voettekst"/>
      <w:tabs>
        <w:tab w:val="right" w:pos="9632"/>
        <w:tab w:val="right" w:pos="15026"/>
      </w:tabs>
      <w:ind w:right="-434"/>
      <w:rPr>
        <w:b/>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6C2CE" w14:textId="77777777" w:rsidR="002254CD" w:rsidRDefault="002254CD" w:rsidP="0099201E">
      <w:pPr>
        <w:spacing w:line="240" w:lineRule="auto"/>
      </w:pPr>
      <w:r>
        <w:separator/>
      </w:r>
    </w:p>
  </w:footnote>
  <w:footnote w:type="continuationSeparator" w:id="0">
    <w:p w14:paraId="75112495" w14:textId="77777777" w:rsidR="002254CD" w:rsidRDefault="002254CD" w:rsidP="009920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04212" w14:textId="77777777" w:rsidR="00C9299D" w:rsidRDefault="00C9299D" w:rsidP="00C9299D">
    <w:pPr>
      <w:pStyle w:val="Koptekst"/>
      <w:tabs>
        <w:tab w:val="center" w:pos="8364"/>
        <w:tab w:val="right" w:pos="15168"/>
      </w:tabs>
      <w:spacing w:line="200" w:lineRule="atLeast"/>
      <w:ind w:right="-32"/>
    </w:pPr>
    <w:r>
      <w:tab/>
    </w:r>
  </w:p>
  <w:p w14:paraId="66A38913" w14:textId="77777777" w:rsidR="00C9299D" w:rsidRDefault="00C9299D" w:rsidP="00C9299D">
    <w:pPr>
      <w:pStyle w:val="Koptekst"/>
      <w:tabs>
        <w:tab w:val="center" w:pos="8364"/>
        <w:tab w:val="right" w:pos="15168"/>
      </w:tabs>
      <w:spacing w:line="200" w:lineRule="atLeast"/>
      <w:ind w:right="-32"/>
      <w:rPr>
        <w:caps/>
      </w:rPr>
    </w:pPr>
  </w:p>
  <w:p w14:paraId="2ACE8442" w14:textId="77777777" w:rsidR="00C9299D" w:rsidRDefault="00C9299D" w:rsidP="00C9299D">
    <w:pPr>
      <w:pStyle w:val="Koptekst"/>
      <w:tabs>
        <w:tab w:val="center" w:pos="8364"/>
        <w:tab w:val="right" w:pos="15168"/>
      </w:tabs>
      <w:spacing w:line="200" w:lineRule="atLeast"/>
      <w:ind w:right="-32"/>
      <w:rPr>
        <w:caps/>
      </w:rPr>
    </w:pPr>
  </w:p>
  <w:p w14:paraId="4FB49019" w14:textId="77777777" w:rsidR="00C9299D" w:rsidRDefault="00C9299D" w:rsidP="00C9299D">
    <w:pPr>
      <w:pStyle w:val="Koptekst"/>
      <w:tabs>
        <w:tab w:val="center" w:pos="8364"/>
        <w:tab w:val="right" w:pos="15168"/>
      </w:tabs>
      <w:spacing w:line="200" w:lineRule="atLeast"/>
      <w:ind w:right="-32"/>
      <w:rPr>
        <w:caps/>
      </w:rPr>
    </w:pPr>
  </w:p>
  <w:p w14:paraId="5D08EACB" w14:textId="5C10AA17" w:rsidR="00763599" w:rsidRPr="001A411F" w:rsidRDefault="00C9299D" w:rsidP="00C9299D">
    <w:pPr>
      <w:pStyle w:val="Koptekst"/>
      <w:tabs>
        <w:tab w:val="center" w:pos="8364"/>
        <w:tab w:val="right" w:pos="15168"/>
      </w:tabs>
      <w:spacing w:line="200" w:lineRule="atLeast"/>
      <w:ind w:right="-32"/>
      <w:rPr>
        <w:rFonts w:eastAsia="Times New Roman" w:cs="Times New Roman"/>
        <w:b/>
        <w:caps/>
        <w:sz w:val="16"/>
        <w:szCs w:val="18"/>
      </w:rPr>
    </w:pPr>
    <w:r w:rsidRPr="001A411F">
      <w:rPr>
        <w:rFonts w:eastAsia="Times New Roman" w:cs="Times New Roman"/>
        <w:b/>
        <w:caps/>
        <w:sz w:val="16"/>
        <w:szCs w:val="18"/>
      </w:rPr>
      <w:t>Niveau-onderscheidende kenmerken (nok)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1AFF"/>
    <w:multiLevelType w:val="hybridMultilevel"/>
    <w:tmpl w:val="111CA08E"/>
    <w:lvl w:ilvl="0" w:tplc="0D56E698">
      <w:start w:val="1"/>
      <w:numFmt w:val="bullet"/>
      <w:lvlText w:val="-"/>
      <w:lvlJc w:val="left"/>
      <w:pPr>
        <w:ind w:left="567" w:hanging="283"/>
      </w:pPr>
      <w:rPr>
        <w:rFonts w:ascii="Arial" w:hAnsi="Arial" w:hint="default"/>
      </w:rPr>
    </w:lvl>
    <w:lvl w:ilvl="1" w:tplc="88CEDAB2">
      <w:start w:val="1"/>
      <w:numFmt w:val="bullet"/>
      <w:lvlText w:val="."/>
      <w:lvlJc w:val="left"/>
      <w:pPr>
        <w:ind w:left="1134" w:hanging="283"/>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5F0920"/>
    <w:multiLevelType w:val="multilevel"/>
    <w:tmpl w:val="A190B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2E3DEE"/>
    <w:multiLevelType w:val="hybridMultilevel"/>
    <w:tmpl w:val="BE7E5C8A"/>
    <w:lvl w:ilvl="0" w:tplc="7630795E">
      <w:start w:val="1"/>
      <w:numFmt w:val="decimal"/>
      <w:pStyle w:val="Opsom-cijfers"/>
      <w:lvlText w:val="%1."/>
      <w:lvlJc w:val="left"/>
      <w:pPr>
        <w:ind w:left="284" w:hanging="284"/>
      </w:pPr>
      <w:rPr>
        <w:rFonts w:hint="default"/>
      </w:rPr>
    </w:lvl>
    <w:lvl w:ilvl="1" w:tplc="ED3481FE">
      <w:start w:val="1"/>
      <w:numFmt w:val="lowerLetter"/>
      <w:lvlText w:val="%2."/>
      <w:lvlJc w:val="left"/>
      <w:pPr>
        <w:ind w:left="567" w:hanging="283"/>
      </w:pPr>
      <w:rPr>
        <w:rFonts w:hint="default"/>
      </w:rPr>
    </w:lvl>
    <w:lvl w:ilvl="2" w:tplc="5510D268">
      <w:start w:val="1"/>
      <w:numFmt w:val="lowerRoman"/>
      <w:lvlText w:val="%3."/>
      <w:lvlJc w:val="left"/>
      <w:pPr>
        <w:ind w:left="851" w:hanging="284"/>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844292"/>
    <w:multiLevelType w:val="hybridMultilevel"/>
    <w:tmpl w:val="B82CDDC4"/>
    <w:lvl w:ilvl="0" w:tplc="D0F86F64">
      <w:start w:val="1"/>
      <w:numFmt w:val="lowerLetter"/>
      <w:lvlText w:val="%1."/>
      <w:lvlJc w:val="left"/>
      <w:pPr>
        <w:ind w:left="567" w:hanging="283"/>
      </w:pPr>
      <w:rPr>
        <w:rFonts w:hint="default"/>
      </w:rPr>
    </w:lvl>
    <w:lvl w:ilvl="1" w:tplc="05A4E2F8">
      <w:start w:val="1"/>
      <w:numFmt w:val="decimal"/>
      <w:lvlText w:val="%2."/>
      <w:lvlJc w:val="left"/>
      <w:pPr>
        <w:tabs>
          <w:tab w:val="num" w:pos="567"/>
        </w:tabs>
        <w:ind w:left="284" w:hanging="284"/>
      </w:pPr>
      <w:rPr>
        <w:rFonts w:hint="default"/>
      </w:rPr>
    </w:lvl>
    <w:lvl w:ilvl="2" w:tplc="D67A944E">
      <w:start w:val="1"/>
      <w:numFmt w:val="lowerLetter"/>
      <w:lvlText w:val="%3."/>
      <w:lvlJc w:val="left"/>
      <w:pPr>
        <w:tabs>
          <w:tab w:val="num" w:pos="567"/>
        </w:tabs>
        <w:ind w:left="567" w:hanging="283"/>
      </w:pPr>
      <w:rPr>
        <w:rFonts w:hint="default"/>
      </w:rPr>
    </w:lvl>
    <w:lvl w:ilvl="3" w:tplc="110429DE">
      <w:start w:val="1"/>
      <w:numFmt w:val="lowerRoman"/>
      <w:lvlText w:val="%4."/>
      <w:lvlJc w:val="left"/>
      <w:pPr>
        <w:tabs>
          <w:tab w:val="num" w:pos="567"/>
        </w:tabs>
        <w:ind w:left="851" w:hanging="284"/>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2C17E3"/>
    <w:multiLevelType w:val="multilevel"/>
    <w:tmpl w:val="1B2E3256"/>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AF1A00"/>
    <w:multiLevelType w:val="multilevel"/>
    <w:tmpl w:val="94B0A59A"/>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75C7536"/>
    <w:multiLevelType w:val="hybridMultilevel"/>
    <w:tmpl w:val="94E0C1A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4003B4"/>
    <w:multiLevelType w:val="multilevel"/>
    <w:tmpl w:val="93E2EC22"/>
    <w:lvl w:ilvl="0">
      <w:start w:val="1"/>
      <w:numFmt w:val="none"/>
      <w:pStyle w:val="Lijstalinea"/>
      <w:lvlText w:val="-"/>
      <w:lvlJc w:val="left"/>
      <w:pPr>
        <w:tabs>
          <w:tab w:val="num" w:pos="567"/>
        </w:tabs>
        <w:ind w:left="284" w:hanging="284"/>
      </w:pPr>
      <w:rPr>
        <w:rFonts w:hint="default"/>
      </w:rPr>
    </w:lvl>
    <w:lvl w:ilvl="1">
      <w:start w:val="1"/>
      <w:numFmt w:val="none"/>
      <w:lvlText w:val="."/>
      <w:lvlJc w:val="left"/>
      <w:pPr>
        <w:tabs>
          <w:tab w:val="num" w:pos="567"/>
        </w:tabs>
        <w:ind w:left="567" w:hanging="283"/>
      </w:pPr>
      <w:rPr>
        <w:rFonts w:hint="default"/>
      </w:rPr>
    </w:lvl>
    <w:lvl w:ilvl="2">
      <w:start w:val="1"/>
      <w:numFmt w:val="bullet"/>
      <w:lvlText w:val="."/>
      <w:lvlJc w:val="left"/>
      <w:pPr>
        <w:ind w:left="851" w:hanging="284"/>
      </w:pPr>
      <w:rPr>
        <w:rFonts w:ascii="Courier New" w:hAnsi="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8" w15:restartNumberingAfterBreak="0">
    <w:nsid w:val="3CEF6C91"/>
    <w:multiLevelType w:val="hybridMultilevel"/>
    <w:tmpl w:val="A2900858"/>
    <w:lvl w:ilvl="0" w:tplc="BA2CE0B4">
      <w:start w:val="1"/>
      <w:numFmt w:val="bullet"/>
      <w:lvlText w:val="-"/>
      <w:lvlJc w:val="left"/>
      <w:pPr>
        <w:ind w:left="284" w:hanging="284"/>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ED2633"/>
    <w:multiLevelType w:val="hybridMultilevel"/>
    <w:tmpl w:val="D8E0CA02"/>
    <w:lvl w:ilvl="0" w:tplc="B4CEF56A">
      <w:start w:val="1"/>
      <w:numFmt w:val="decimal"/>
      <w:lvlText w:val="%1."/>
      <w:lvlJc w:val="left"/>
      <w:pPr>
        <w:tabs>
          <w:tab w:val="num" w:pos="567"/>
        </w:tabs>
        <w:ind w:left="284" w:hanging="284"/>
      </w:pPr>
      <w:rPr>
        <w:rFonts w:hint="default"/>
      </w:rPr>
    </w:lvl>
    <w:lvl w:ilvl="1" w:tplc="D0F86F64">
      <w:start w:val="1"/>
      <w:numFmt w:val="lowerLetter"/>
      <w:lvlText w:val="%2."/>
      <w:lvlJc w:val="left"/>
      <w:pPr>
        <w:ind w:left="567" w:hanging="283"/>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FFE331D"/>
    <w:multiLevelType w:val="multilevel"/>
    <w:tmpl w:val="A2900858"/>
    <w:lvl w:ilvl="0">
      <w:start w:val="1"/>
      <w:numFmt w:val="bullet"/>
      <w:lvlText w:val="-"/>
      <w:lvlJc w:val="left"/>
      <w:pPr>
        <w:ind w:left="284" w:hanging="28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F7D37D5"/>
    <w:multiLevelType w:val="multilevel"/>
    <w:tmpl w:val="538CA730"/>
    <w:lvl w:ilvl="0">
      <w:start w:val="1"/>
      <w:numFmt w:val="bullet"/>
      <w:lvlText w:val="-"/>
      <w:lvlJc w:val="left"/>
      <w:pPr>
        <w:ind w:left="567" w:hanging="283"/>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34366E"/>
    <w:multiLevelType w:val="hybridMultilevel"/>
    <w:tmpl w:val="8B5E1D72"/>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3" w15:restartNumberingAfterBreak="0">
    <w:nsid w:val="6E6867B5"/>
    <w:multiLevelType w:val="multilevel"/>
    <w:tmpl w:val="1B2E3256"/>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7E25A4"/>
    <w:multiLevelType w:val="hybridMultilevel"/>
    <w:tmpl w:val="60D89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13F3DF8"/>
    <w:multiLevelType w:val="multilevel"/>
    <w:tmpl w:val="23DAAC0A"/>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37A6725"/>
    <w:multiLevelType w:val="hybridMultilevel"/>
    <w:tmpl w:val="6EAA0F62"/>
    <w:lvl w:ilvl="0" w:tplc="BA2CE0B4">
      <w:start w:val="1"/>
      <w:numFmt w:val="bullet"/>
      <w:lvlText w:val="-"/>
      <w:lvlJc w:val="left"/>
      <w:pPr>
        <w:ind w:left="284" w:hanging="284"/>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1"/>
  </w:num>
  <w:num w:numId="5">
    <w:abstractNumId w:val="14"/>
  </w:num>
  <w:num w:numId="6">
    <w:abstractNumId w:val="12"/>
  </w:num>
  <w:num w:numId="7">
    <w:abstractNumId w:val="6"/>
  </w:num>
  <w:num w:numId="8">
    <w:abstractNumId w:val="16"/>
  </w:num>
  <w:num w:numId="9">
    <w:abstractNumId w:val="8"/>
  </w:num>
  <w:num w:numId="10">
    <w:abstractNumId w:val="10"/>
  </w:num>
  <w:num w:numId="11">
    <w:abstractNumId w:val="4"/>
  </w:num>
  <w:num w:numId="12">
    <w:abstractNumId w:val="13"/>
  </w:num>
  <w:num w:numId="13">
    <w:abstractNumId w:val="7"/>
  </w:num>
  <w:num w:numId="14">
    <w:abstractNumId w:val="9"/>
  </w:num>
  <w:num w:numId="15">
    <w:abstractNumId w:val="15"/>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CE"/>
    <w:rsid w:val="0001773F"/>
    <w:rsid w:val="000B55F5"/>
    <w:rsid w:val="000B7F47"/>
    <w:rsid w:val="000C4004"/>
    <w:rsid w:val="000E2288"/>
    <w:rsid w:val="00106E05"/>
    <w:rsid w:val="001240A6"/>
    <w:rsid w:val="00182CB5"/>
    <w:rsid w:val="001A411F"/>
    <w:rsid w:val="001D0612"/>
    <w:rsid w:val="001E27BA"/>
    <w:rsid w:val="001F7342"/>
    <w:rsid w:val="00202E3E"/>
    <w:rsid w:val="002126F6"/>
    <w:rsid w:val="002254CD"/>
    <w:rsid w:val="00234B05"/>
    <w:rsid w:val="00343B60"/>
    <w:rsid w:val="00352F12"/>
    <w:rsid w:val="00397A57"/>
    <w:rsid w:val="003B2C3E"/>
    <w:rsid w:val="00462969"/>
    <w:rsid w:val="00480631"/>
    <w:rsid w:val="004A2A5B"/>
    <w:rsid w:val="004F7477"/>
    <w:rsid w:val="0055566C"/>
    <w:rsid w:val="00567E4D"/>
    <w:rsid w:val="006464E5"/>
    <w:rsid w:val="006475EF"/>
    <w:rsid w:val="00655925"/>
    <w:rsid w:val="006A32D9"/>
    <w:rsid w:val="006D15B0"/>
    <w:rsid w:val="007318D4"/>
    <w:rsid w:val="00763599"/>
    <w:rsid w:val="007E3370"/>
    <w:rsid w:val="007E46CE"/>
    <w:rsid w:val="00810A85"/>
    <w:rsid w:val="00847E55"/>
    <w:rsid w:val="00857CC5"/>
    <w:rsid w:val="008803C1"/>
    <w:rsid w:val="00897642"/>
    <w:rsid w:val="008A1010"/>
    <w:rsid w:val="008A1799"/>
    <w:rsid w:val="00986D86"/>
    <w:rsid w:val="0099201E"/>
    <w:rsid w:val="009F468B"/>
    <w:rsid w:val="00A6740E"/>
    <w:rsid w:val="00B35FC4"/>
    <w:rsid w:val="00B54704"/>
    <w:rsid w:val="00B759B3"/>
    <w:rsid w:val="00BA3C87"/>
    <w:rsid w:val="00BF3DA6"/>
    <w:rsid w:val="00C13E85"/>
    <w:rsid w:val="00C271DE"/>
    <w:rsid w:val="00C40F45"/>
    <w:rsid w:val="00C9299D"/>
    <w:rsid w:val="00C9401B"/>
    <w:rsid w:val="00D17BCF"/>
    <w:rsid w:val="00D85325"/>
    <w:rsid w:val="00DA5688"/>
    <w:rsid w:val="00DC1588"/>
    <w:rsid w:val="00DC189A"/>
    <w:rsid w:val="00DE1848"/>
    <w:rsid w:val="00E63009"/>
    <w:rsid w:val="00E7110E"/>
    <w:rsid w:val="00EC1F6A"/>
    <w:rsid w:val="00F21E8C"/>
    <w:rsid w:val="00F27DB4"/>
    <w:rsid w:val="00FE07B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4B55"/>
  <w15:chartTrackingRefBased/>
  <w15:docId w15:val="{1816F357-894B-804D-BEF5-D9092868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7E46CE"/>
    <w:pPr>
      <w:spacing w:line="240" w:lineRule="atLeast"/>
    </w:pPr>
    <w:rPr>
      <w:rFonts w:eastAsia="Times New Roman"/>
    </w:rPr>
  </w:style>
  <w:style w:type="paragraph" w:styleId="Kop1">
    <w:name w:val="heading 1"/>
    <w:basedOn w:val="Standaard"/>
    <w:next w:val="Standaard"/>
    <w:link w:val="Kop1Char"/>
    <w:uiPriority w:val="9"/>
    <w:qFormat/>
    <w:rsid w:val="00234B05"/>
    <w:pPr>
      <w:spacing w:after="480"/>
      <w:outlineLvl w:val="0"/>
    </w:pPr>
    <w:rPr>
      <w:rFonts w:eastAsiaTheme="minorEastAsia" w:cs="Arial"/>
      <w:b/>
      <w:caps/>
    </w:rPr>
  </w:style>
  <w:style w:type="paragraph" w:styleId="Kop2">
    <w:name w:val="heading 2"/>
    <w:basedOn w:val="Kop1"/>
    <w:next w:val="Standaard"/>
    <w:link w:val="Kop2Char"/>
    <w:uiPriority w:val="9"/>
    <w:unhideWhenUsed/>
    <w:qFormat/>
    <w:rsid w:val="0099201E"/>
    <w:pPr>
      <w:spacing w:after="240"/>
      <w:outlineLvl w:val="1"/>
    </w:pPr>
    <w:rPr>
      <w:caps w:val="0"/>
    </w:rPr>
  </w:style>
  <w:style w:type="paragraph" w:styleId="Kop3">
    <w:name w:val="heading 3"/>
    <w:basedOn w:val="Kop2"/>
    <w:next w:val="Standaard"/>
    <w:link w:val="Kop3Char"/>
    <w:uiPriority w:val="9"/>
    <w:unhideWhenUsed/>
    <w:qFormat/>
    <w:rsid w:val="0099201E"/>
    <w:pPr>
      <w:spacing w:after="0"/>
      <w:outlineLvl w:val="2"/>
    </w:pPr>
    <w:rPr>
      <w:i/>
    </w:rPr>
  </w:style>
  <w:style w:type="paragraph" w:styleId="Kop4">
    <w:name w:val="heading 4"/>
    <w:basedOn w:val="Standaard"/>
    <w:next w:val="Standaard"/>
    <w:link w:val="Kop4Char"/>
    <w:uiPriority w:val="9"/>
    <w:semiHidden/>
    <w:unhideWhenUsed/>
    <w:rsid w:val="002126F6"/>
    <w:pPr>
      <w:keepNext/>
      <w:keepLines/>
      <w:tabs>
        <w:tab w:val="center" w:pos="567"/>
      </w:tab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rsid w:val="00C40F45"/>
    <w:pPr>
      <w:numPr>
        <w:numId w:val="13"/>
      </w:numPr>
      <w:tabs>
        <w:tab w:val="clear" w:pos="567"/>
      </w:tabs>
      <w:contextualSpacing/>
    </w:pPr>
    <w:rPr>
      <w:rFonts w:eastAsiaTheme="minorEastAsia" w:cs="Arial"/>
    </w:rPr>
  </w:style>
  <w:style w:type="character" w:customStyle="1" w:styleId="Kop1Char">
    <w:name w:val="Kop 1 Char"/>
    <w:basedOn w:val="Standaardalinea-lettertype"/>
    <w:link w:val="Kop1"/>
    <w:uiPriority w:val="9"/>
    <w:rsid w:val="00234B05"/>
    <w:rPr>
      <w:rFonts w:ascii="Arial" w:hAnsi="Arial" w:cs="Arial"/>
      <w:b/>
      <w:caps/>
      <w:sz w:val="20"/>
      <w:szCs w:val="20"/>
    </w:rPr>
  </w:style>
  <w:style w:type="character" w:customStyle="1" w:styleId="Kop2Char">
    <w:name w:val="Kop 2 Char"/>
    <w:basedOn w:val="Standaardalinea-lettertype"/>
    <w:link w:val="Kop2"/>
    <w:uiPriority w:val="9"/>
    <w:rsid w:val="0099201E"/>
    <w:rPr>
      <w:rFonts w:ascii="Arial" w:hAnsi="Arial" w:cs="Arial"/>
      <w:b/>
      <w:sz w:val="20"/>
      <w:szCs w:val="20"/>
    </w:rPr>
  </w:style>
  <w:style w:type="paragraph" w:styleId="Inhopg1">
    <w:name w:val="toc 1"/>
    <w:basedOn w:val="Standaard"/>
    <w:next w:val="Standaard"/>
    <w:autoRedefine/>
    <w:uiPriority w:val="39"/>
    <w:unhideWhenUsed/>
    <w:rsid w:val="002126F6"/>
    <w:pPr>
      <w:spacing w:after="100"/>
    </w:pPr>
    <w:rPr>
      <w:rFonts w:eastAsiaTheme="minorEastAsia" w:cs="Arial"/>
    </w:rPr>
  </w:style>
  <w:style w:type="paragraph" w:styleId="Inhopg2">
    <w:name w:val="toc 2"/>
    <w:basedOn w:val="Standaard"/>
    <w:next w:val="Standaard"/>
    <w:autoRedefine/>
    <w:uiPriority w:val="39"/>
    <w:unhideWhenUsed/>
    <w:rsid w:val="002126F6"/>
    <w:pPr>
      <w:spacing w:after="100"/>
      <w:ind w:left="200"/>
    </w:pPr>
    <w:rPr>
      <w:rFonts w:eastAsiaTheme="minorEastAsia" w:cs="Arial"/>
    </w:rPr>
  </w:style>
  <w:style w:type="character" w:styleId="Hyperlink">
    <w:name w:val="Hyperlink"/>
    <w:basedOn w:val="Standaardalinea-lettertype"/>
    <w:uiPriority w:val="99"/>
    <w:unhideWhenUsed/>
    <w:rsid w:val="002126F6"/>
    <w:rPr>
      <w:color w:val="0563C1" w:themeColor="hyperlink"/>
      <w:u w:val="single"/>
    </w:rPr>
  </w:style>
  <w:style w:type="character" w:customStyle="1" w:styleId="Kop3Char">
    <w:name w:val="Kop 3 Char"/>
    <w:basedOn w:val="Standaardalinea-lettertype"/>
    <w:link w:val="Kop3"/>
    <w:uiPriority w:val="9"/>
    <w:rsid w:val="0099201E"/>
    <w:rPr>
      <w:rFonts w:ascii="Arial" w:hAnsi="Arial" w:cs="Arial"/>
      <w:b/>
      <w:i/>
      <w:sz w:val="20"/>
      <w:szCs w:val="20"/>
    </w:rPr>
  </w:style>
  <w:style w:type="character" w:customStyle="1" w:styleId="Kop4Char">
    <w:name w:val="Kop 4 Char"/>
    <w:basedOn w:val="Standaardalinea-lettertype"/>
    <w:link w:val="Kop4"/>
    <w:uiPriority w:val="9"/>
    <w:semiHidden/>
    <w:rsid w:val="002126F6"/>
    <w:rPr>
      <w:rFonts w:asciiTheme="majorHAnsi" w:eastAsiaTheme="majorEastAsia" w:hAnsiTheme="majorHAnsi" w:cstheme="majorBidi"/>
      <w:i/>
      <w:iCs/>
      <w:color w:val="2F5496" w:themeColor="accent1" w:themeShade="BF"/>
      <w:sz w:val="20"/>
      <w:szCs w:val="20"/>
    </w:rPr>
  </w:style>
  <w:style w:type="paragraph" w:styleId="Koptekst">
    <w:name w:val="header"/>
    <w:basedOn w:val="Standaard"/>
    <w:link w:val="KoptekstChar"/>
    <w:unhideWhenUsed/>
    <w:rsid w:val="0099201E"/>
    <w:pPr>
      <w:tabs>
        <w:tab w:val="center" w:pos="4536"/>
        <w:tab w:val="right" w:pos="9072"/>
      </w:tabs>
      <w:spacing w:line="240" w:lineRule="auto"/>
    </w:pPr>
    <w:rPr>
      <w:rFonts w:eastAsiaTheme="minorEastAsia" w:cs="Arial"/>
    </w:rPr>
  </w:style>
  <w:style w:type="paragraph" w:styleId="Inhopg3">
    <w:name w:val="toc 3"/>
    <w:basedOn w:val="Standaard"/>
    <w:next w:val="Standaard"/>
    <w:autoRedefine/>
    <w:uiPriority w:val="39"/>
    <w:unhideWhenUsed/>
    <w:rsid w:val="00234B05"/>
    <w:pPr>
      <w:spacing w:after="100"/>
      <w:ind w:left="400"/>
    </w:pPr>
    <w:rPr>
      <w:rFonts w:eastAsiaTheme="minorEastAsia" w:cs="Arial"/>
    </w:rPr>
  </w:style>
  <w:style w:type="character" w:customStyle="1" w:styleId="KoptekstChar">
    <w:name w:val="Koptekst Char"/>
    <w:basedOn w:val="Standaardalinea-lettertype"/>
    <w:link w:val="Koptekst"/>
    <w:uiPriority w:val="99"/>
    <w:rsid w:val="0099201E"/>
    <w:rPr>
      <w:rFonts w:ascii="Arial" w:hAnsi="Arial" w:cs="Arial"/>
      <w:sz w:val="20"/>
      <w:szCs w:val="20"/>
    </w:rPr>
  </w:style>
  <w:style w:type="paragraph" w:styleId="Voettekst">
    <w:name w:val="footer"/>
    <w:basedOn w:val="Standaard"/>
    <w:link w:val="VoettekstChar"/>
    <w:unhideWhenUsed/>
    <w:rsid w:val="0099201E"/>
    <w:pPr>
      <w:tabs>
        <w:tab w:val="center" w:pos="4536"/>
        <w:tab w:val="right" w:pos="9072"/>
      </w:tabs>
      <w:spacing w:line="240" w:lineRule="auto"/>
    </w:pPr>
    <w:rPr>
      <w:rFonts w:eastAsiaTheme="minorEastAsia" w:cs="Arial"/>
    </w:rPr>
  </w:style>
  <w:style w:type="character" w:customStyle="1" w:styleId="VoettekstChar">
    <w:name w:val="Voettekst Char"/>
    <w:basedOn w:val="Standaardalinea-lettertype"/>
    <w:link w:val="Voettekst"/>
    <w:rsid w:val="0099201E"/>
    <w:rPr>
      <w:rFonts w:ascii="Arial" w:hAnsi="Arial" w:cs="Arial"/>
      <w:sz w:val="20"/>
      <w:szCs w:val="20"/>
    </w:rPr>
  </w:style>
  <w:style w:type="character" w:styleId="Paginanummer">
    <w:name w:val="page number"/>
    <w:basedOn w:val="Standaardalinea-lettertype"/>
    <w:unhideWhenUsed/>
    <w:rsid w:val="0099201E"/>
  </w:style>
  <w:style w:type="paragraph" w:customStyle="1" w:styleId="Opsom-cijfers">
    <w:name w:val="Opsom-cijfers"/>
    <w:basedOn w:val="Lijstalinea"/>
    <w:qFormat/>
    <w:rsid w:val="001E27BA"/>
    <w:pPr>
      <w:numPr>
        <w:numId w:val="17"/>
      </w:numPr>
    </w:pPr>
  </w:style>
  <w:style w:type="paragraph" w:customStyle="1" w:styleId="Opsom-streepjes">
    <w:name w:val="Opsom-streepjes"/>
    <w:basedOn w:val="Lijstalinea"/>
    <w:qFormat/>
    <w:rsid w:val="001E27BA"/>
  </w:style>
  <w:style w:type="paragraph" w:customStyle="1" w:styleId="ONDERNEMINGon">
    <w:name w:val="ONDERNEMING.on"/>
    <w:basedOn w:val="Standaard"/>
    <w:rsid w:val="006475EF"/>
    <w:pPr>
      <w:tabs>
        <w:tab w:val="left" w:pos="1701"/>
      </w:tabs>
      <w:spacing w:line="260" w:lineRule="exact"/>
      <w:ind w:left="1985" w:hanging="1985"/>
    </w:pPr>
    <w:rPr>
      <w:rFonts w:ascii="Times New Roman" w:eastAsiaTheme="minorEastAsia"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vonputman/Library/Group%20Containers/UBF8T346G9.Office/User%20Content.localized/Templates.localized/CAOLEO.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CAOLEO.dotx</Template>
  <TotalTime>3</TotalTime>
  <Pages>1</Pages>
  <Words>256</Words>
  <Characters>1411</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Maryvon Putman</dc:creator>
  <cp:keywords/>
  <dc:description/>
  <cp:lastModifiedBy>Lytske van Wijngaarden</cp:lastModifiedBy>
  <cp:revision>10</cp:revision>
  <dcterms:created xsi:type="dcterms:W3CDTF">2020-02-28T12:51:00Z</dcterms:created>
  <dcterms:modified xsi:type="dcterms:W3CDTF">2021-02-04T14:37:00Z</dcterms:modified>
</cp:coreProperties>
</file>